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Calibri" w:eastAsia="Calibri" w:hAnsi="Calibri" w:cs="Times New Roman"/>
          <w:b/>
          <w:sz w:val="40"/>
        </w:rPr>
      </w:pPr>
      <w:r>
        <w:rPr>
          <w:rFonts w:ascii="Calibri" w:eastAsia="Calibri" w:hAnsi="Calibri" w:cs="Times New Roman"/>
          <w:b/>
          <w:sz w:val="40"/>
        </w:rPr>
        <w:t>Year 7 - DEAR</w:t>
      </w:r>
    </w:p>
    <w:p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88900</wp:posOffset>
            </wp:positionV>
            <wp:extent cx="1729740" cy="2105025"/>
            <wp:effectExtent l="0" t="0" r="3810" b="9525"/>
            <wp:wrapTight wrapText="bothSides">
              <wp:wrapPolygon edited="0">
                <wp:start x="0" y="0"/>
                <wp:lineTo x="0" y="21502"/>
                <wp:lineTo x="21410" y="21502"/>
                <wp:lineTo x="21410" y="0"/>
                <wp:lineTo x="0" y="0"/>
              </wp:wrapPolygon>
            </wp:wrapTight>
            <wp:docPr id="33" name="Picture 33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picture containing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jc w:val="both"/>
        <w:rPr>
          <w:rFonts w:ascii="Calibri" w:eastAsia="Calibri" w:hAnsi="Calibri" w:cs="Times New Roman"/>
          <w:sz w:val="24"/>
          <w:szCs w:val="24"/>
        </w:rPr>
      </w:pPr>
    </w:p>
    <w:p>
      <w:pPr>
        <w:jc w:val="both"/>
        <w:rPr>
          <w:rFonts w:ascii="Calibri" w:eastAsia="Calibri" w:hAnsi="Calibri" w:cs="Times New Roman"/>
          <w:sz w:val="24"/>
          <w:szCs w:val="24"/>
        </w:rPr>
      </w:pPr>
    </w:p>
    <w:p>
      <w:pPr>
        <w:jc w:val="both"/>
        <w:rPr>
          <w:rFonts w:ascii="Calibri" w:eastAsia="Calibri" w:hAnsi="Calibri" w:cs="Times New Roman"/>
          <w:sz w:val="24"/>
          <w:szCs w:val="24"/>
        </w:rPr>
      </w:pPr>
    </w:p>
    <w:p>
      <w:pPr>
        <w:jc w:val="both"/>
        <w:rPr>
          <w:rFonts w:ascii="Calibri" w:eastAsia="Calibri" w:hAnsi="Calibri" w:cs="Times New Roman"/>
          <w:sz w:val="24"/>
          <w:szCs w:val="24"/>
        </w:rPr>
      </w:pPr>
    </w:p>
    <w:p>
      <w:pPr>
        <w:jc w:val="both"/>
        <w:rPr>
          <w:rFonts w:ascii="Calibri" w:eastAsia="Calibri" w:hAnsi="Calibri" w:cs="Times New Roman"/>
          <w:sz w:val="24"/>
          <w:szCs w:val="24"/>
        </w:rPr>
      </w:pPr>
    </w:p>
    <w:p>
      <w:pPr>
        <w:jc w:val="both"/>
        <w:rPr>
          <w:rFonts w:ascii="Calibri" w:eastAsia="Calibri" w:hAnsi="Calibri" w:cs="Times New Roman"/>
          <w:sz w:val="24"/>
          <w:szCs w:val="24"/>
        </w:rPr>
      </w:pPr>
    </w:p>
    <w:p>
      <w:pPr>
        <w:jc w:val="both"/>
        <w:rPr>
          <w:rFonts w:ascii="Calibri" w:eastAsia="Calibri" w:hAnsi="Calibri" w:cs="Times New Roman"/>
          <w:sz w:val="24"/>
          <w:szCs w:val="24"/>
        </w:rPr>
      </w:pPr>
    </w:p>
    <w:p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Term 1 book:  </w:t>
      </w:r>
      <w:r>
        <w:rPr>
          <w:rFonts w:ascii="Calibri" w:eastAsia="Calibri" w:hAnsi="Calibri" w:cs="Times New Roman"/>
          <w:b/>
          <w:bCs/>
          <w:sz w:val="24"/>
          <w:szCs w:val="24"/>
        </w:rPr>
        <w:t>Henry James’ “Turn of the Screw”</w:t>
      </w:r>
      <w:r>
        <w:rPr>
          <w:rFonts w:ascii="Calibri" w:eastAsia="Calibri" w:hAnsi="Calibri" w:cs="Times New Roman"/>
          <w:sz w:val="24"/>
          <w:szCs w:val="24"/>
        </w:rPr>
        <w:t xml:space="preserve">       </w:t>
      </w:r>
    </w:p>
    <w:p>
      <w:pPr>
        <w:pStyle w:val="ListParagraph"/>
        <w:numPr>
          <w:ilvl w:val="0"/>
          <w:numId w:val="1"/>
        </w:numPr>
        <w:spacing w:after="0"/>
        <w:ind w:left="53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To expose pupils to gothic genre and Victorian text. </w:t>
      </w:r>
    </w:p>
    <w:p>
      <w:pPr>
        <w:pStyle w:val="ListParagraph"/>
        <w:numPr>
          <w:ilvl w:val="0"/>
          <w:numId w:val="1"/>
        </w:numPr>
        <w:spacing w:after="0"/>
        <w:ind w:left="53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To develop empathy with characters.</w:t>
      </w:r>
    </w:p>
    <w:p>
      <w:pPr>
        <w:pStyle w:val="ListParagraph"/>
        <w:numPr>
          <w:ilvl w:val="0"/>
          <w:numId w:val="1"/>
        </w:numPr>
        <w:spacing w:after="0"/>
        <w:ind w:left="53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To develop imagination and response to writer’s thoughts and feelings. </w:t>
      </w:r>
    </w:p>
    <w:p>
      <w:pPr>
        <w:pStyle w:val="ListParagraph"/>
        <w:numPr>
          <w:ilvl w:val="0"/>
          <w:numId w:val="1"/>
        </w:numPr>
        <w:spacing w:after="0"/>
        <w:ind w:left="53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To expose pupils to pre 1914 texts. </w:t>
      </w:r>
    </w:p>
    <w:p>
      <w:pPr>
        <w:pStyle w:val="ListParagraph"/>
        <w:numPr>
          <w:ilvl w:val="0"/>
          <w:numId w:val="1"/>
        </w:numPr>
        <w:spacing w:after="0"/>
        <w:ind w:left="53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To widen pupils’ historical knowledge of the way people used to live.</w:t>
      </w:r>
    </w:p>
    <w:p>
      <w:pPr>
        <w:pStyle w:val="ListParagraph"/>
        <w:numPr>
          <w:ilvl w:val="0"/>
          <w:numId w:val="1"/>
        </w:numPr>
        <w:spacing w:after="0"/>
        <w:ind w:left="53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To provide opportunities for discussion around the idea of ghosts and human’s reactions to things we </w:t>
      </w:r>
      <w:r>
        <w:rPr>
          <w:rFonts w:ascii="Calibri" w:eastAsia="Calibri" w:hAnsi="Calibri" w:cs="Times New Roman"/>
          <w:sz w:val="24"/>
          <w:szCs w:val="24"/>
        </w:rPr>
        <w:t>do not</w:t>
      </w:r>
      <w:r>
        <w:rPr>
          <w:rFonts w:ascii="Calibri" w:eastAsia="Calibri" w:hAnsi="Calibri" w:cs="Times New Roman"/>
          <w:sz w:val="24"/>
          <w:szCs w:val="24"/>
        </w:rPr>
        <w:t xml:space="preserve"> understand.    </w:t>
      </w:r>
    </w:p>
    <w:p>
      <w:pPr>
        <w:pStyle w:val="ListParagraph"/>
        <w:spacing w:after="0"/>
        <w:ind w:left="53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</w:t>
      </w:r>
    </w:p>
    <w:p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8255</wp:posOffset>
            </wp:positionV>
            <wp:extent cx="1482725" cy="1993265"/>
            <wp:effectExtent l="0" t="0" r="3175" b="6985"/>
            <wp:wrapTight wrapText="bothSides">
              <wp:wrapPolygon edited="0">
                <wp:start x="0" y="0"/>
                <wp:lineTo x="0" y="21469"/>
                <wp:lineTo x="21369" y="21469"/>
                <wp:lineTo x="21369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both"/>
        <w:rPr>
          <w:rFonts w:ascii="Calibri" w:eastAsia="Calibri" w:hAnsi="Calibri" w:cs="Times New Roman"/>
        </w:rPr>
      </w:pPr>
    </w:p>
    <w:p>
      <w:pPr>
        <w:jc w:val="both"/>
        <w:rPr>
          <w:rFonts w:ascii="Calibri" w:eastAsia="Calibri" w:hAnsi="Calibri" w:cs="Times New Roman"/>
        </w:rPr>
      </w:pPr>
    </w:p>
    <w:p>
      <w:pPr>
        <w:jc w:val="both"/>
        <w:rPr>
          <w:rFonts w:ascii="Calibri" w:eastAsia="Calibri" w:hAnsi="Calibri" w:cs="Times New Roman"/>
        </w:rPr>
      </w:pPr>
    </w:p>
    <w:p>
      <w:pPr>
        <w:jc w:val="both"/>
        <w:rPr>
          <w:rFonts w:ascii="Calibri" w:eastAsia="Calibri" w:hAnsi="Calibri" w:cs="Times New Roman"/>
        </w:rPr>
      </w:pPr>
    </w:p>
    <w:p>
      <w:pPr>
        <w:jc w:val="both"/>
        <w:rPr>
          <w:rFonts w:ascii="Calibri" w:eastAsia="Calibri" w:hAnsi="Calibri" w:cs="Times New Roman"/>
        </w:rPr>
      </w:pPr>
    </w:p>
    <w:p>
      <w:pPr>
        <w:jc w:val="both"/>
        <w:rPr>
          <w:rFonts w:ascii="Calibri" w:eastAsia="Calibri" w:hAnsi="Calibri" w:cs="Times New Roman"/>
          <w:sz w:val="24"/>
          <w:szCs w:val="24"/>
        </w:rPr>
      </w:pPr>
    </w:p>
    <w:p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Term 2 book:     </w:t>
      </w:r>
      <w:proofErr w:type="spellStart"/>
      <w:r>
        <w:rPr>
          <w:rFonts w:ascii="Calibri" w:eastAsia="Calibri" w:hAnsi="Calibri" w:cs="Times New Roman"/>
          <w:b/>
          <w:bCs/>
          <w:sz w:val="24"/>
          <w:szCs w:val="24"/>
        </w:rPr>
        <w:t>Malorie</w:t>
      </w:r>
      <w:proofErr w:type="spellEnd"/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Blackman’s “Noughts and Crosses”</w:t>
      </w:r>
      <w:r>
        <w:rPr>
          <w:rFonts w:ascii="Calibri" w:eastAsia="Calibri" w:hAnsi="Calibri" w:cs="Times New Roman"/>
          <w:sz w:val="24"/>
          <w:szCs w:val="24"/>
        </w:rPr>
        <w:t xml:space="preserve">     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To expose pupils to dystopian texts.  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To explore the theme of racism and provide opportunities to discuss and challenge racism in society. 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To challenge racial stereotypes.  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To read a seminal text by a black author.  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To explore texts that relate to the zeitgeist.   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To build on work done around Black Right</w:t>
      </w:r>
      <w:r>
        <w:rPr>
          <w:rFonts w:ascii="Calibri" w:eastAsia="Calibri" w:hAnsi="Calibri" w:cs="Times New Roman"/>
          <w:sz w:val="24"/>
          <w:szCs w:val="24"/>
        </w:rPr>
        <w:t>’</w:t>
      </w:r>
      <w:r>
        <w:rPr>
          <w:rFonts w:ascii="Calibri" w:eastAsia="Calibri" w:hAnsi="Calibri" w:cs="Times New Roman"/>
          <w:sz w:val="24"/>
          <w:szCs w:val="24"/>
        </w:rPr>
        <w:t xml:space="preserve">s month.  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To provide a text that is above chronological reading age of pupils to stretch and challenge pupils’ reading ability, to read a book that matches the ability of those with reading ages above chronological RA.     </w:t>
      </w:r>
    </w:p>
    <w:p>
      <w:pPr>
        <w:jc w:val="right"/>
        <w:rPr>
          <w:rFonts w:ascii="Calibri" w:eastAsia="Calibri" w:hAnsi="Calibri" w:cs="Times New Roman"/>
          <w:sz w:val="24"/>
          <w:szCs w:val="24"/>
        </w:rPr>
      </w:pPr>
    </w:p>
    <w:p>
      <w:pPr>
        <w:rPr>
          <w:rFonts w:ascii="Calibri" w:eastAsia="Calibri" w:hAnsi="Calibri" w:cs="Times New Roman"/>
          <w:sz w:val="24"/>
          <w:szCs w:val="24"/>
        </w:rPr>
      </w:pPr>
    </w:p>
    <w:p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180340</wp:posOffset>
            </wp:positionV>
            <wp:extent cx="1722120" cy="2141220"/>
            <wp:effectExtent l="0" t="0" r="0" b="0"/>
            <wp:wrapTight wrapText="bothSides">
              <wp:wrapPolygon edited="0">
                <wp:start x="0" y="0"/>
                <wp:lineTo x="0" y="21331"/>
                <wp:lineTo x="21265" y="21331"/>
                <wp:lineTo x="21265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ascii="Calibri" w:eastAsia="Calibri" w:hAnsi="Calibri" w:cs="Times New Roman"/>
          <w:sz w:val="24"/>
          <w:szCs w:val="24"/>
        </w:rPr>
      </w:pPr>
    </w:p>
    <w:p>
      <w:pPr>
        <w:rPr>
          <w:rFonts w:ascii="Calibri" w:eastAsia="Calibri" w:hAnsi="Calibri" w:cs="Times New Roman"/>
          <w:sz w:val="24"/>
          <w:szCs w:val="24"/>
        </w:rPr>
      </w:pPr>
    </w:p>
    <w:p>
      <w:pPr>
        <w:rPr>
          <w:rFonts w:ascii="Calibri" w:eastAsia="Calibri" w:hAnsi="Calibri" w:cs="Times New Roman"/>
          <w:sz w:val="24"/>
          <w:szCs w:val="24"/>
        </w:rPr>
      </w:pPr>
    </w:p>
    <w:p>
      <w:pPr>
        <w:rPr>
          <w:rFonts w:ascii="Calibri" w:eastAsia="Calibri" w:hAnsi="Calibri" w:cs="Times New Roman"/>
          <w:sz w:val="24"/>
          <w:szCs w:val="24"/>
        </w:rPr>
      </w:pPr>
    </w:p>
    <w:p>
      <w:pPr>
        <w:rPr>
          <w:rFonts w:ascii="Calibri" w:eastAsia="Calibri" w:hAnsi="Calibri" w:cs="Times New Roman"/>
          <w:sz w:val="24"/>
          <w:szCs w:val="24"/>
        </w:rPr>
      </w:pPr>
    </w:p>
    <w:p>
      <w:pPr>
        <w:rPr>
          <w:rFonts w:ascii="Calibri" w:eastAsia="Calibri" w:hAnsi="Calibri" w:cs="Times New Roman"/>
          <w:sz w:val="24"/>
          <w:szCs w:val="24"/>
        </w:rPr>
      </w:pPr>
    </w:p>
    <w:p>
      <w:pPr>
        <w:rPr>
          <w:rFonts w:ascii="Calibri" w:eastAsia="Calibri" w:hAnsi="Calibri" w:cs="Times New Roman"/>
          <w:sz w:val="24"/>
          <w:szCs w:val="24"/>
        </w:rPr>
      </w:pPr>
    </w:p>
    <w:p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Term 3 book:  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Chinua </w:t>
      </w:r>
      <w:proofErr w:type="gramStart"/>
      <w:r>
        <w:rPr>
          <w:rFonts w:ascii="Calibri" w:eastAsia="Calibri" w:hAnsi="Calibri" w:cs="Times New Roman"/>
          <w:b/>
          <w:bCs/>
          <w:sz w:val="24"/>
          <w:szCs w:val="24"/>
        </w:rPr>
        <w:t>Achebe’s  “</w:t>
      </w:r>
      <w:proofErr w:type="gramEnd"/>
      <w:r>
        <w:rPr>
          <w:rFonts w:ascii="Calibri" w:eastAsia="Calibri" w:hAnsi="Calibri" w:cs="Times New Roman"/>
          <w:b/>
          <w:bCs/>
          <w:sz w:val="24"/>
          <w:szCs w:val="24"/>
        </w:rPr>
        <w:t>Things Fall Apart”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To explore a text by an author from a different cultural background. 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To expose pupils to life from a different time and culture: set in pre-colonial Nigeria in 1958.  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To explore what we can learn from the proverbs of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another country and how stories/proverbs can be interwoven into other stories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.  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To widen pupils’ cultural and historical knowledge and understanding of other countries and cultures.                                                                                                                                                        </w:t>
      </w:r>
    </w:p>
    <w:p>
      <w:pPr>
        <w:jc w:val="right"/>
        <w:rPr>
          <w:rFonts w:ascii="Calibri" w:eastAsia="Calibri" w:hAnsi="Calibri" w:cs="Times New Roman"/>
        </w:rPr>
      </w:pPr>
      <w:bookmarkStart w:id="0" w:name="_GoBack"/>
      <w:bookmarkEnd w:id="0"/>
    </w:p>
    <w:p>
      <w:pPr>
        <w:rPr>
          <w:rFonts w:ascii="Calibri" w:eastAsia="Calibri" w:hAnsi="Calibri" w:cs="Times New Roman"/>
        </w:rPr>
      </w:pPr>
    </w:p>
    <w:p/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B7B"/>
    <w:multiLevelType w:val="hybridMultilevel"/>
    <w:tmpl w:val="5C94FA68"/>
    <w:lvl w:ilvl="0" w:tplc="0809000B">
      <w:start w:val="1"/>
      <w:numFmt w:val="bullet"/>
      <w:lvlText w:val=""/>
      <w:lvlJc w:val="left"/>
      <w:pPr>
        <w:ind w:left="-3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</w:abstractNum>
  <w:abstractNum w:abstractNumId="1" w15:restartNumberingAfterBreak="0">
    <w:nsid w:val="1F88688B"/>
    <w:multiLevelType w:val="hybridMultilevel"/>
    <w:tmpl w:val="EDB871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2406A"/>
    <w:multiLevelType w:val="hybridMultilevel"/>
    <w:tmpl w:val="D70CA8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D4A85-AF7C-470E-AD1A-D0041D96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Atherton Community School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B.Layzell</dc:creator>
  <cp:keywords/>
  <dc:description/>
  <cp:lastModifiedBy>B.Layzell</cp:lastModifiedBy>
  <cp:revision>1</cp:revision>
  <dcterms:created xsi:type="dcterms:W3CDTF">2021-09-10T10:49:00Z</dcterms:created>
  <dcterms:modified xsi:type="dcterms:W3CDTF">2021-09-10T10:59:00Z</dcterms:modified>
</cp:coreProperties>
</file>