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4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-69011</wp:posOffset>
            </wp:positionH>
            <wp:positionV relativeFrom="paragraph">
              <wp:posOffset>336047</wp:posOffset>
            </wp:positionV>
            <wp:extent cx="1447800" cy="2261235"/>
            <wp:effectExtent l="0" t="0" r="0" b="5715"/>
            <wp:wrapTight wrapText="bothSides">
              <wp:wrapPolygon edited="0">
                <wp:start x="0" y="0"/>
                <wp:lineTo x="0" y="21473"/>
                <wp:lineTo x="21316" y="21473"/>
                <wp:lineTo x="21316" y="0"/>
                <wp:lineTo x="0" y="0"/>
              </wp:wrapPolygon>
            </wp:wrapTight>
            <wp:docPr id="299" name="Picture 299" descr="The Moonstone (Wordsworth Classics): Amazon.co.uk: Collins, Wilkie, Blair,  David, Carabine, Dr Keith: 9781853260445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Moonstone (Wordsworth Classics): Amazon.co.uk: Collins, Wilkie, Blair,  David, Carabine, Dr Keith: 9781853260445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</w:rPr>
        <w:t>Year 10 DEAR</w:t>
      </w:r>
    </w:p>
    <w:p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80625283"/>
    </w:p>
    <w:p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bCs/>
          <w:sz w:val="24"/>
          <w:szCs w:val="24"/>
        </w:rPr>
        <w:t>Wilkie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Collins’ “The Moonstone” (1868)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read seminal, Victorian literature that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is co</w:t>
      </w:r>
      <w:bookmarkStart w:id="1" w:name="_GoBack"/>
      <w:bookmarkEnd w:id="1"/>
      <w:r>
        <w:rPr>
          <w:rFonts w:ascii="Calibri" w:eastAsia="Calibri" w:hAnsi="Calibri" w:cs="Times New Roman"/>
          <w:sz w:val="24"/>
          <w:szCs w:val="24"/>
        </w:rPr>
        <w:t>nsidered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the</w:t>
      </w:r>
      <w:r>
        <w:rPr>
          <w:rFonts w:ascii="Calibri" w:eastAsia="Calibri" w:hAnsi="Calibri" w:cs="Times New Roman"/>
          <w:sz w:val="24"/>
          <w:szCs w:val="24"/>
        </w:rPr>
        <w:t xml:space="preserve"> precursor of the detective novel. 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 explore a book with an unusual structure</w:t>
      </w:r>
      <w:proofErr w:type="gramStart"/>
      <w:r>
        <w:rPr>
          <w:rFonts w:ascii="Calibri" w:eastAsia="Calibri" w:hAnsi="Calibri" w:cs="Times New Roman"/>
          <w:sz w:val="24"/>
          <w:szCs w:val="24"/>
        </w:rPr>
        <w:t>;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an epistolary novel. 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explore the work of one of Dicken’s friends and fellow writers.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provide opportunities for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oracy</w:t>
      </w:r>
      <w:proofErr w:type="spellEnd"/>
      <w:proofErr w:type="gramStart"/>
      <w:r>
        <w:rPr>
          <w:rFonts w:ascii="Calibri" w:eastAsia="Calibri" w:hAnsi="Calibri" w:cs="Times New Roman"/>
          <w:sz w:val="24"/>
          <w:szCs w:val="24"/>
        </w:rPr>
        <w:t>;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discuss the arrogance of some British soldiers during their time in India, colonialism and British views around other faiths and cultures.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explore views around standing in society and the rights and lives of the working class compared to the upper class. 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explore Collins’ presentation of strong female characters in a time when women had few rights and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were considered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inferior to men.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consider how people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are judged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on looks and status rather than characteristics.    </w:t>
      </w:r>
    </w:p>
    <w:p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bookmarkEnd w:id="0"/>
    </w:p>
    <w:p>
      <w:pPr>
        <w:jc w:val="center"/>
        <w:rPr>
          <w:b/>
          <w:sz w:val="40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1CB"/>
    <w:multiLevelType w:val="hybridMultilevel"/>
    <w:tmpl w:val="E30A96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6D237-FF1E-4158-9503-D40977B5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Atherton Community School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B.Layzell</dc:creator>
  <cp:keywords/>
  <dc:description/>
  <cp:lastModifiedBy>B.Layzell</cp:lastModifiedBy>
  <cp:revision>1</cp:revision>
  <dcterms:created xsi:type="dcterms:W3CDTF">2021-09-10T11:32:00Z</dcterms:created>
  <dcterms:modified xsi:type="dcterms:W3CDTF">2021-09-10T11:36:00Z</dcterms:modified>
</cp:coreProperties>
</file>